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附件7</w:t>
      </w:r>
    </w:p>
    <w:p>
      <w:pPr>
        <w:spacing w:line="48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2018-2019年度“</w:t>
      </w:r>
      <w:r>
        <w:rPr>
          <w:rFonts w:hint="eastAsia" w:eastAsia="方正小标宋简体"/>
          <w:bCs/>
          <w:sz w:val="36"/>
          <w:szCs w:val="36"/>
        </w:rPr>
        <w:t>广东省五四红旗团委标兵”申报表</w:t>
      </w:r>
      <w:bookmarkEnd w:id="0"/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261"/>
        <w:gridCol w:w="1161"/>
        <w:gridCol w:w="590"/>
        <w:gridCol w:w="796"/>
        <w:gridCol w:w="487"/>
        <w:gridCol w:w="661"/>
        <w:gridCol w:w="148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团委全称</w:t>
            </w:r>
          </w:p>
        </w:tc>
        <w:tc>
          <w:tcPr>
            <w:tcW w:w="3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所属类别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地址邮编</w:t>
            </w:r>
          </w:p>
        </w:tc>
        <w:tc>
          <w:tcPr>
            <w:tcW w:w="3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基本情况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团员人数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2018年“推优”入党人数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团干部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专职团干部数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兼职团干部数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团委书记是否同级党委委员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团委书记能否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列席同级党委会议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团委最近一次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换届时间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平均业务及时响应率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2018.08至2019.02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（截至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2019.03.31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是否为获得本级团组织奖项的团员录入奖励信息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“青年之声”平台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开展活动情况（2018.01至2018.12）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活动发布数</w:t>
            </w: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活动报名数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活动总评分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本地本单位在“i志愿”平台开展志愿活动情况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（2018.01至2018.12）</w:t>
            </w:r>
          </w:p>
        </w:tc>
        <w:tc>
          <w:tcPr>
            <w:tcW w:w="38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2018年活动开展数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2018年人均志愿服务时长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25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开展活力在基层活动获得省级荣誉数量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近五年获得市级</w:t>
            </w:r>
          </w:p>
          <w:p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团委以上荣誉情况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近三年来开展的主要活动情况</w:t>
            </w:r>
          </w:p>
          <w:p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以及取得的效果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年  月  日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年  月  日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说明：1.所属类别指党政机关、事业单位、普通高校、普通中学、中等职业学校、国有企业、集体企业、非公企业、农村、街道社区、军队、青年社会组织、互联网行业组织、驻外团组织、其他。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pStyle w:val="3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2.专职团干部是指由单位正式工作人员担任的、职级待遇根据团的岗位确定、以团的工作为主要任务的团干部。如，各级团的领导机关正式工作人员，乡镇（街道）团委书记，部分高校、机关事业单位、国有企业等单位的专职团干部。兼职团干部是指以团的工作为辅，在团内兼职的团干部（学生团干部均为兼职团干部）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3</w:t>
      </w:r>
      <w:r>
        <w:rPr>
          <w:rFonts w:hint="eastAsia" w:ascii="方正楷体简体" w:eastAsia="方正楷体简体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平均业务及时响应率=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25" o:spt="75" type="#_x0000_t75" style="height:29.25pt;width:231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4.团员连续3个月未交团费比例=</w:t>
      </w:r>
      <w:r>
        <w:rPr>
          <w:rFonts w:hint="eastAsia" w:ascii="方正楷体简体" w:eastAsia="方正楷体简体"/>
          <w:position w:val="-26"/>
          <w:sz w:val="21"/>
          <w:szCs w:val="21"/>
          <w:lang w:val="en-US" w:eastAsia="zh-CN"/>
        </w:rPr>
        <w:object>
          <v:shape id="_x0000_i1026" o:spt="75" type="#_x0000_t75" style="height:30.4pt;width:141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ascii="Times New Roman" w:hAnsi="Times New Roman" w:eastAsia="方正楷体简体" w:cs="Times New Roman"/>
          <w:sz w:val="21"/>
          <w:szCs w:val="21"/>
        </w:rPr>
      </w:pPr>
      <w:r>
        <w:rPr>
          <w:rFonts w:hint="eastAsia" w:eastAsia="宋体"/>
          <w:sz w:val="21"/>
          <w:szCs w:val="21"/>
          <w:lang w:val="en-US" w:eastAsia="zh-CN"/>
        </w:rPr>
        <w:t>5</w:t>
      </w:r>
      <w:r>
        <w:rPr>
          <w:rFonts w:hint="eastAsia" w:eastAsia="宋体"/>
          <w:sz w:val="21"/>
          <w:szCs w:val="21"/>
        </w:rPr>
        <w:t>.请勿更改申报表格式，保持本表在两页纸内，纸质版请双面打印。</w:t>
      </w:r>
    </w:p>
    <w:p>
      <w:pPr>
        <w:pStyle w:val="3"/>
        <w:adjustRightInd w:val="0"/>
        <w:snapToGrid w:val="0"/>
        <w:spacing w:before="0" w:beforeAutospacing="0" w:after="0" w:afterAutospacing="0"/>
        <w:rPr>
          <w:rFonts w:ascii="方正黑体_GBK" w:hAnsi="方正黑体_GBK" w:eastAsia="方正黑体_GBK" w:cs="方正黑体_GBK"/>
          <w:sz w:val="30"/>
          <w:szCs w:val="30"/>
        </w:rPr>
        <w:sectPr>
          <w:pgSz w:w="11906" w:h="16838"/>
          <w:pgMar w:top="1440" w:right="1800" w:bottom="1440" w:left="1800" w:header="851" w:footer="964" w:gutter="0"/>
          <w:pgNumType w:fmt="numberInDash"/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2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缪诗泓</dc:creator>
  <cp:lastModifiedBy>Flora</cp:lastModifiedBy>
  <dcterms:modified xsi:type="dcterms:W3CDTF">2019-03-04T15:04:41Z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