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3827"/>
        <w:gridCol w:w="1882"/>
      </w:tblGrid>
      <w:tr w:rsidR="00F25034" w:rsidRPr="00F25034" w14:paraId="77ABBB9B" w14:textId="77777777" w:rsidTr="00A3725D">
        <w:trPr>
          <w:trHeight w:val="567"/>
          <w:jc w:val="center"/>
        </w:trPr>
        <w:tc>
          <w:tcPr>
            <w:tcW w:w="7933" w:type="dxa"/>
            <w:gridSpan w:val="3"/>
            <w:shd w:val="clear" w:color="auto" w:fill="auto"/>
            <w:noWrap/>
            <w:vAlign w:val="center"/>
            <w:hideMark/>
          </w:tcPr>
          <w:p w14:paraId="3A480319" w14:textId="3A46F748" w:rsidR="00F25034" w:rsidRPr="00F25034" w:rsidRDefault="003278A7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第九期</w:t>
            </w:r>
            <w:r w:rsidR="005D3ACA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校级</w:t>
            </w:r>
            <w:bookmarkStart w:id="0" w:name="_GoBack"/>
            <w:bookmarkEnd w:id="0"/>
            <w:r w:rsidR="005D3AC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青马班</w:t>
            </w:r>
            <w:r w:rsidR="005D3AC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”</w:t>
            </w:r>
            <w:r w:rsidR="00F25034" w:rsidRPr="00F25034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院系推荐名额</w:t>
            </w:r>
          </w:p>
        </w:tc>
      </w:tr>
      <w:tr w:rsidR="00A3725D" w:rsidRPr="00C74189" w14:paraId="6156F3B6" w14:textId="77777777" w:rsidTr="00A3725D">
        <w:trPr>
          <w:trHeight w:val="454"/>
          <w:jc w:val="center"/>
        </w:trPr>
        <w:tc>
          <w:tcPr>
            <w:tcW w:w="2224" w:type="dxa"/>
            <w:shd w:val="clear" w:color="auto" w:fill="auto"/>
            <w:noWrap/>
            <w:vAlign w:val="center"/>
            <w:hideMark/>
          </w:tcPr>
          <w:p w14:paraId="12492E3C" w14:textId="2E2B60B7" w:rsidR="00A3725D" w:rsidRPr="00C74189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C74189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校区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C7F7044" w14:textId="56A2E544" w:rsidR="00A3725D" w:rsidRPr="00C74189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C74189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学院、直属系</w:t>
            </w:r>
          </w:p>
        </w:tc>
        <w:tc>
          <w:tcPr>
            <w:tcW w:w="1882" w:type="dxa"/>
            <w:shd w:val="clear" w:color="auto" w:fill="auto"/>
            <w:noWrap/>
            <w:vAlign w:val="center"/>
            <w:hideMark/>
          </w:tcPr>
          <w:p w14:paraId="6002AA95" w14:textId="026EAF9C" w:rsidR="00A3725D" w:rsidRPr="00C74189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C74189">
              <w:rPr>
                <w:rFonts w:ascii="Abadi MT Condensed Extra Bold" w:eastAsia="宋体" w:hAnsi="Abadi MT Condensed Extra Bold"/>
                <w:b/>
                <w:bCs/>
                <w:color w:val="000000"/>
                <w:sz w:val="24"/>
              </w:rPr>
              <w:t>名额</w:t>
            </w:r>
          </w:p>
        </w:tc>
      </w:tr>
      <w:tr w:rsidR="00A3725D" w:rsidRPr="00F25034" w14:paraId="1945109E" w14:textId="77777777" w:rsidTr="00A3725D">
        <w:trPr>
          <w:trHeight w:val="198"/>
          <w:jc w:val="center"/>
        </w:trPr>
        <w:tc>
          <w:tcPr>
            <w:tcW w:w="2224" w:type="dxa"/>
            <w:vMerge w:val="restart"/>
            <w:shd w:val="clear" w:color="auto" w:fill="auto"/>
            <w:noWrap/>
            <w:vAlign w:val="center"/>
            <w:hideMark/>
          </w:tcPr>
          <w:p w14:paraId="5FD0884C" w14:textId="055F760A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南校园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E09BD20" w14:textId="4880DDF6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博雅学院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36A95595" w14:textId="52652EC0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6</w:t>
            </w:r>
          </w:p>
        </w:tc>
      </w:tr>
      <w:tr w:rsidR="00A3725D" w:rsidRPr="00F25034" w14:paraId="378DD149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099B4EED" w14:textId="13641BA7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62F7F30" w14:textId="5E968444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岭南学院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072F2AE9" w14:textId="3F69D77A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6B4E2DF1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56A2B08A" w14:textId="5DBE9A2F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A5B81DD" w14:textId="6A1DECC1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哲学系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6391CC0E" w14:textId="2EC580B8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</w:tr>
      <w:tr w:rsidR="00A3725D" w:rsidRPr="00F25034" w14:paraId="674C23F3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3145763B" w14:textId="202942E9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0D57CB1" w14:textId="016A0782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社会学与人类学学院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291D622D" w14:textId="5A41F29D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105D9FA6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6F0C05AE" w14:textId="75193895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B42CD56" w14:textId="79BFDD6A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地理科学与规划学院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0CCC3017" w14:textId="5CFD2DF0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</w:tr>
      <w:tr w:rsidR="00A3725D" w:rsidRPr="00F25034" w14:paraId="257289EF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72C26D1B" w14:textId="6D8CF5FF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7E0A1CA" w14:textId="3C1031DC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数学学院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6FAB9B52" w14:textId="741A2C1D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0F80EF4E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36225417" w14:textId="45F5A79F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E00CE05" w14:textId="4EBD5461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外国语学院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5FEC8396" w14:textId="489C703E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13B038A7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606946B2" w14:textId="10140D31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1C9FFD1" w14:textId="4C2A2F28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生命科学学院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7D67D701" w14:textId="40178A36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1B77102B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6A7A18BC" w14:textId="3C7BAEDB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913DBBB" w14:textId="3417411F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化学学院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39E1834E" w14:textId="16C4A2CE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0E7086AD" w14:textId="77777777" w:rsidTr="00A3725D">
        <w:trPr>
          <w:trHeight w:val="198"/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  <w:hideMark/>
          </w:tcPr>
          <w:p w14:paraId="41B40A60" w14:textId="10A67827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东校园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2FEED07" w14:textId="359C0269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10000"/>
                <w:sz w:val="22"/>
              </w:rPr>
              <w:t>政务学院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78D7EB73" w14:textId="770BD84F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1939D59F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noWrap/>
            <w:vAlign w:val="center"/>
            <w:hideMark/>
          </w:tcPr>
          <w:p w14:paraId="0DEB63E8" w14:textId="20C280F8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A647295" w14:textId="00733477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10000"/>
                <w:sz w:val="22"/>
              </w:rPr>
              <w:t>材料科学与工程学院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1A8C738E" w14:textId="333E36CC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018BC113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5AC4EFBB" w14:textId="48A35827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02DB0E6" w14:textId="5C9E62D5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材料学院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03E84AD7" w14:textId="650F3038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471965EF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697A9465" w14:textId="75BEA0C5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E9BE420" w14:textId="7C4A257B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工学院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5D8B611C" w14:textId="0AF50191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40BDDB94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346857D8" w14:textId="75CB9A68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1FEC107" w14:textId="4C349DA9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生物医学工程学院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453FEEED" w14:textId="747E1A96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75A9B545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noWrap/>
            <w:vAlign w:val="center"/>
            <w:hideMark/>
          </w:tcPr>
          <w:p w14:paraId="4E9DA2AB" w14:textId="463B8A12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076552A" w14:textId="2D5BE874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电子与信息工程学院</w:t>
            </w:r>
          </w:p>
        </w:tc>
        <w:tc>
          <w:tcPr>
            <w:tcW w:w="1882" w:type="dxa"/>
            <w:shd w:val="clear" w:color="auto" w:fill="auto"/>
            <w:vAlign w:val="bottom"/>
            <w:hideMark/>
          </w:tcPr>
          <w:p w14:paraId="26ADD3F9" w14:textId="7DFFCCC7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43B31DBE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0A9C12A7" w14:textId="24C06FE8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0844A71" w14:textId="52279A78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传播与设计学院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0E288641" w14:textId="2E3CCD8A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1623CCD6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4988C95B" w14:textId="56EDF624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1FA17EE7" w14:textId="118C2425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环境科学与工程学院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118E2B67" w14:textId="41054302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05667167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7675ECFB" w14:textId="0B7FA303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5113EB7" w14:textId="4D3D4B55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资讯管理学院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219FAAC1" w14:textId="1BA6CBF8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571F3ED5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4619343D" w14:textId="3D5D1DAE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FF5EE5D" w14:textId="31E53E95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法学院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28C63656" w14:textId="5CBBAAA7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00D5F3BC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64BA570E" w14:textId="1E929CD7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BAAA095" w14:textId="4C196313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管理学院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3BDF4E91" w14:textId="20A4C04F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03D4971D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2AF42BB8" w14:textId="7CBD84BE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43E0310" w14:textId="1BC24471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药学院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0A0884A0" w14:textId="52C29BA4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1048A59A" w14:textId="77777777" w:rsidTr="00A3725D">
        <w:trPr>
          <w:trHeight w:val="198"/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</w:tcPr>
          <w:p w14:paraId="1497F326" w14:textId="0ED9B813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北校园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57B460" w14:textId="6DC57E3A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护理学院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53AF89DC" w14:textId="255563CE" w:rsidR="00A3725D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</w:t>
            </w:r>
          </w:p>
        </w:tc>
      </w:tr>
      <w:tr w:rsidR="00A3725D" w:rsidRPr="00F25034" w14:paraId="1E07850A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2C031109" w14:textId="3266083D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CB14B6F" w14:textId="299DA985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中山医学院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08A7878B" w14:textId="7A5D2A2E" w:rsidR="00A3725D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8</w:t>
            </w:r>
          </w:p>
        </w:tc>
      </w:tr>
      <w:tr w:rsidR="00A3725D" w:rsidRPr="00F25034" w14:paraId="668EFD0B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50F6FC46" w14:textId="40D89AE1" w:rsidR="00A3725D" w:rsidRPr="00F25034" w:rsidRDefault="00A3725D" w:rsidP="00E90AB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E38D9AE" w14:textId="12DA79D4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光华口腔医学院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5603B04A" w14:textId="764851AC" w:rsidR="00A3725D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40DAAA95" w14:textId="77777777" w:rsidTr="00A3725D">
        <w:trPr>
          <w:trHeight w:val="198"/>
          <w:jc w:val="center"/>
        </w:trPr>
        <w:tc>
          <w:tcPr>
            <w:tcW w:w="2224" w:type="dxa"/>
            <w:vMerge w:val="restart"/>
            <w:shd w:val="clear" w:color="auto" w:fill="auto"/>
            <w:vAlign w:val="center"/>
            <w:hideMark/>
          </w:tcPr>
          <w:p w14:paraId="68A211AC" w14:textId="4F722A2C" w:rsidR="00A3725D" w:rsidRPr="00F25034" w:rsidRDefault="00A3725D" w:rsidP="00E90AB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珠海校区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C8CDAAA" w14:textId="520989F2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海洋科学学院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32AD63CE" w14:textId="73917985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50F320D8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  <w:hideMark/>
          </w:tcPr>
          <w:p w14:paraId="1FCEDA51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D9A1424" w14:textId="431DC0E4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历史学系（珠海）</w:t>
            </w:r>
          </w:p>
        </w:tc>
        <w:tc>
          <w:tcPr>
            <w:tcW w:w="1882" w:type="dxa"/>
            <w:shd w:val="clear" w:color="auto" w:fill="auto"/>
            <w:noWrap/>
            <w:vAlign w:val="bottom"/>
            <w:hideMark/>
          </w:tcPr>
          <w:p w14:paraId="7B038430" w14:textId="60DA2FAD" w:rsidR="00A3725D" w:rsidRPr="00F25034" w:rsidRDefault="00A3725D" w:rsidP="00F2503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4478E4AE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42394502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A192309" w14:textId="2D63F171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化学工程与技术学院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2161EAC9" w14:textId="6E323D9C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A3725D" w:rsidRPr="00F25034" w14:paraId="68021081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18751BB1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FB401A8" w14:textId="18728768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中国语言文学系（珠海）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17B07841" w14:textId="7CC14C76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6847DEB2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3FDB75C7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1423286" w14:textId="1E9F471A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物理与天文学院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439939B6" w14:textId="5F776A37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A3725D" w:rsidRPr="00F25034" w14:paraId="4279F915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41D158B2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7447FEE" w14:textId="03329B8C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旅游学院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39EC8A14" w14:textId="4785FBFC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1</w:t>
            </w:r>
          </w:p>
        </w:tc>
      </w:tr>
      <w:tr w:rsidR="00A3725D" w:rsidRPr="00F25034" w14:paraId="0E8ECA47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3B1D2D51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960488D" w14:textId="7A20E03E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中法核工程与技术学院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2DCC380B" w14:textId="5A47985E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6</w:t>
            </w:r>
          </w:p>
        </w:tc>
      </w:tr>
      <w:tr w:rsidR="00A3725D" w:rsidRPr="00F25034" w14:paraId="615C5F1C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433ECEA3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B8A14A9" w14:textId="07AD3315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国际金融学院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5B47823E" w14:textId="1A8D5372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026FC13A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13CD8420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E526B9B" w14:textId="3AC6F356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国际翻译学院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4AF70B0D" w14:textId="7D72098C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</w:tr>
      <w:tr w:rsidR="00A3725D" w:rsidRPr="00F25034" w14:paraId="070972A7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405529E6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E3524F0" w14:textId="1AE541DD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大气科学学院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77D6D07E" w14:textId="681C7474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A3725D" w:rsidRPr="00F25034" w14:paraId="5417A744" w14:textId="77777777" w:rsidTr="00A3725D">
        <w:trPr>
          <w:trHeight w:val="198"/>
          <w:jc w:val="center"/>
        </w:trPr>
        <w:tc>
          <w:tcPr>
            <w:tcW w:w="2224" w:type="dxa"/>
            <w:vMerge/>
            <w:shd w:val="clear" w:color="auto" w:fill="auto"/>
            <w:vAlign w:val="center"/>
          </w:tcPr>
          <w:p w14:paraId="706CF6B7" w14:textId="77777777" w:rsidR="00A3725D" w:rsidRPr="00F25034" w:rsidRDefault="00A3725D" w:rsidP="00F250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F41BCE6" w14:textId="26AC76AF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数学学院（珠海）</w:t>
            </w:r>
          </w:p>
        </w:tc>
        <w:tc>
          <w:tcPr>
            <w:tcW w:w="1882" w:type="dxa"/>
            <w:shd w:val="clear" w:color="auto" w:fill="auto"/>
            <w:noWrap/>
            <w:vAlign w:val="bottom"/>
          </w:tcPr>
          <w:p w14:paraId="37F8851E" w14:textId="4151EAAC" w:rsidR="00A3725D" w:rsidRDefault="00A3725D" w:rsidP="00F25034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E964BF" w:rsidRPr="00F25034" w14:paraId="1F0ADF19" w14:textId="77777777" w:rsidTr="00A3725D">
        <w:trPr>
          <w:trHeight w:val="1215"/>
          <w:jc w:val="center"/>
        </w:trPr>
        <w:tc>
          <w:tcPr>
            <w:tcW w:w="7933" w:type="dxa"/>
            <w:gridSpan w:val="3"/>
            <w:shd w:val="clear" w:color="auto" w:fill="auto"/>
            <w:vAlign w:val="center"/>
            <w:hideMark/>
          </w:tcPr>
          <w:p w14:paraId="040DE183" w14:textId="77777777" w:rsidR="004A5E6E" w:rsidRDefault="00E964BF" w:rsidP="004A5E6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2503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备注：</w:t>
            </w:r>
          </w:p>
          <w:p w14:paraId="7199D75B" w14:textId="239103C2" w:rsidR="004A5E6E" w:rsidRDefault="00E964BF" w:rsidP="004A5E6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0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0C5F5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、本次招新综合考虑院系青马学堂人数及活动开展情况和</w:t>
            </w:r>
            <w:r w:rsidR="000C5F5F">
              <w:rPr>
                <w:rFonts w:ascii="宋体" w:eastAsia="宋体" w:hAnsi="宋体" w:cs="宋体"/>
                <w:kern w:val="0"/>
                <w:sz w:val="24"/>
                <w:szCs w:val="24"/>
              </w:rPr>
              <w:t>第八期学员结业情况</w:t>
            </w:r>
            <w:r w:rsidRPr="00F250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分配相应推荐名额；</w:t>
            </w:r>
          </w:p>
          <w:p w14:paraId="17CC98B4" w14:textId="77BADA5E" w:rsidR="004A5E6E" w:rsidRPr="000C5F5F" w:rsidRDefault="00E964BF" w:rsidP="004A5E6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250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5D3A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17年度暂未</w:t>
            </w:r>
            <w:r w:rsidR="004A5E6E" w:rsidRPr="00F250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开设青马学堂的</w:t>
            </w:r>
            <w:r w:rsidR="005D3A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新建</w:t>
            </w:r>
            <w:r w:rsidR="004A5E6E" w:rsidRPr="00F250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</w:t>
            </w:r>
            <w:r w:rsidR="005D3A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或者活动开展活跃程度不高的院系将</w:t>
            </w:r>
            <w:r w:rsidR="004A5E6E" w:rsidRPr="00F250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不予院系推荐名额，</w:t>
            </w:r>
            <w:r w:rsidR="005D3A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学生可选择自荐报名参与。</w:t>
            </w:r>
          </w:p>
        </w:tc>
      </w:tr>
    </w:tbl>
    <w:p w14:paraId="7F1D9446" w14:textId="77777777" w:rsidR="005962FD" w:rsidRPr="005D3ACA" w:rsidRDefault="005962FD"/>
    <w:sectPr w:rsidR="005962FD" w:rsidRPr="005D3ACA" w:rsidSect="00F0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8CE5B" w14:textId="77777777" w:rsidR="00F265EE" w:rsidRDefault="00F265EE" w:rsidP="007E6EE2">
      <w:r>
        <w:separator/>
      </w:r>
    </w:p>
  </w:endnote>
  <w:endnote w:type="continuationSeparator" w:id="0">
    <w:p w14:paraId="7C023031" w14:textId="77777777" w:rsidR="00F265EE" w:rsidRDefault="00F265EE" w:rsidP="007E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4D679" w14:textId="77777777" w:rsidR="00F265EE" w:rsidRDefault="00F265EE" w:rsidP="007E6EE2">
      <w:r>
        <w:separator/>
      </w:r>
    </w:p>
  </w:footnote>
  <w:footnote w:type="continuationSeparator" w:id="0">
    <w:p w14:paraId="22093645" w14:textId="77777777" w:rsidR="00F265EE" w:rsidRDefault="00F265EE" w:rsidP="007E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12"/>
    <w:rsid w:val="000C5F5F"/>
    <w:rsid w:val="00107F0B"/>
    <w:rsid w:val="001D530E"/>
    <w:rsid w:val="003278A7"/>
    <w:rsid w:val="00374889"/>
    <w:rsid w:val="003A43B6"/>
    <w:rsid w:val="004A5E6E"/>
    <w:rsid w:val="004E42C0"/>
    <w:rsid w:val="005962FD"/>
    <w:rsid w:val="005C5638"/>
    <w:rsid w:val="005D3ACA"/>
    <w:rsid w:val="00791A6D"/>
    <w:rsid w:val="007E6EE2"/>
    <w:rsid w:val="008546DE"/>
    <w:rsid w:val="00A3725D"/>
    <w:rsid w:val="00A9249E"/>
    <w:rsid w:val="00AC1A12"/>
    <w:rsid w:val="00B07D5B"/>
    <w:rsid w:val="00B1497F"/>
    <w:rsid w:val="00B53C2C"/>
    <w:rsid w:val="00C273D6"/>
    <w:rsid w:val="00C74189"/>
    <w:rsid w:val="00E77639"/>
    <w:rsid w:val="00E90AB6"/>
    <w:rsid w:val="00E964BF"/>
    <w:rsid w:val="00F0347A"/>
    <w:rsid w:val="00F25034"/>
    <w:rsid w:val="00F2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E0E33"/>
  <w15:docId w15:val="{035D324F-6EFF-416D-8470-981C0599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E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E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滕凯悦</dc:creator>
  <cp:keywords/>
  <dc:description/>
  <cp:lastModifiedBy>shanshan qi</cp:lastModifiedBy>
  <cp:revision>1</cp:revision>
  <dcterms:created xsi:type="dcterms:W3CDTF">2017-12-08T08:28:00Z</dcterms:created>
  <dcterms:modified xsi:type="dcterms:W3CDTF">2017-12-08T08:32:00Z</dcterms:modified>
</cp:coreProperties>
</file>